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9A99" w14:textId="2F707824" w:rsidR="008B3886" w:rsidRPr="008B3886" w:rsidRDefault="008B3886" w:rsidP="008B3886">
      <w:pPr>
        <w:pBdr>
          <w:top w:val="single" w:sz="4" w:space="1" w:color="auto"/>
          <w:left w:val="single" w:sz="4" w:space="4" w:color="auto"/>
          <w:bottom w:val="single" w:sz="4" w:space="1" w:color="auto"/>
          <w:right w:val="single" w:sz="4" w:space="4" w:color="auto"/>
        </w:pBdr>
        <w:jc w:val="center"/>
        <w:rPr>
          <w:rFonts w:ascii="Verdana" w:hAnsi="Verdana"/>
          <w:b/>
          <w:bCs/>
        </w:rPr>
      </w:pPr>
      <w:r w:rsidRPr="008B3886">
        <w:rPr>
          <w:rFonts w:ascii="Verdana" w:hAnsi="Verdana"/>
          <w:b/>
          <w:bCs/>
        </w:rPr>
        <w:t>COMITE SOCIAL TERRITORIAL</w:t>
      </w:r>
    </w:p>
    <w:p w14:paraId="71704617" w14:textId="2ABAF69A" w:rsidR="008B3886" w:rsidRPr="008B3886" w:rsidRDefault="008B3886" w:rsidP="008B3886">
      <w:pPr>
        <w:pBdr>
          <w:top w:val="single" w:sz="4" w:space="1" w:color="auto"/>
          <w:left w:val="single" w:sz="4" w:space="4" w:color="auto"/>
          <w:bottom w:val="single" w:sz="4" w:space="1" w:color="auto"/>
          <w:right w:val="single" w:sz="4" w:space="4" w:color="auto"/>
        </w:pBdr>
        <w:jc w:val="center"/>
        <w:rPr>
          <w:rFonts w:ascii="Verdana" w:hAnsi="Verdana"/>
          <w:b/>
          <w:bCs/>
        </w:rPr>
      </w:pPr>
      <w:r w:rsidRPr="008B3886">
        <w:rPr>
          <w:rFonts w:ascii="Verdana" w:hAnsi="Verdana"/>
          <w:b/>
          <w:bCs/>
        </w:rPr>
        <w:t>CONVENTION DE PARTICIPATION DE LA PROTECTION SOCIALE COMPLEMENTAIRE</w:t>
      </w:r>
    </w:p>
    <w:p w14:paraId="0867FEA9" w14:textId="236BF9E7" w:rsidR="008934E9" w:rsidRPr="008B3886" w:rsidRDefault="008B3886" w:rsidP="008B3886">
      <w:pPr>
        <w:pBdr>
          <w:top w:val="single" w:sz="4" w:space="1" w:color="auto"/>
          <w:left w:val="single" w:sz="4" w:space="4" w:color="auto"/>
          <w:bottom w:val="single" w:sz="4" w:space="1" w:color="auto"/>
          <w:right w:val="single" w:sz="4" w:space="4" w:color="auto"/>
        </w:pBdr>
        <w:jc w:val="center"/>
        <w:rPr>
          <w:rFonts w:ascii="Verdana" w:hAnsi="Verdana"/>
          <w:b/>
          <w:bCs/>
        </w:rPr>
      </w:pPr>
      <w:r w:rsidRPr="008B3886">
        <w:rPr>
          <w:rFonts w:ascii="Verdana" w:hAnsi="Verdana"/>
          <w:b/>
          <w:bCs/>
        </w:rPr>
        <w:t xml:space="preserve">RISQUE PREVOYANCE </w:t>
      </w:r>
    </w:p>
    <w:p w14:paraId="5B659333" w14:textId="77777777" w:rsidR="008B3886" w:rsidRPr="00DE03A4" w:rsidRDefault="008B3886" w:rsidP="008B3886">
      <w:pPr>
        <w:jc w:val="both"/>
        <w:rPr>
          <w:rFonts w:ascii="Verdana" w:hAnsi="Verdana"/>
          <w:sz w:val="20"/>
          <w:szCs w:val="20"/>
        </w:rPr>
      </w:pPr>
      <w:r w:rsidRPr="00DE03A4">
        <w:rPr>
          <w:rFonts w:ascii="Verdana" w:hAnsi="Verdana"/>
          <w:sz w:val="20"/>
          <w:szCs w:val="20"/>
        </w:rPr>
        <w:t>Initiée par la loi de transformation de la fonction publique du 06/08/2019 à son article 40, les employeurs territoriaux auront l’obligation, à compter du 1</w:t>
      </w:r>
      <w:r w:rsidRPr="00DE03A4">
        <w:rPr>
          <w:rFonts w:ascii="Verdana" w:hAnsi="Verdana"/>
          <w:sz w:val="20"/>
          <w:szCs w:val="20"/>
          <w:vertAlign w:val="superscript"/>
        </w:rPr>
        <w:t>er</w:t>
      </w:r>
      <w:r w:rsidRPr="00DE03A4">
        <w:rPr>
          <w:rFonts w:ascii="Verdana" w:hAnsi="Verdana"/>
          <w:sz w:val="20"/>
          <w:szCs w:val="20"/>
        </w:rPr>
        <w:t xml:space="preserve"> janvier 2025, de participer à la protection sociale de leurs agents en matière de prévoyance.</w:t>
      </w:r>
    </w:p>
    <w:p w14:paraId="62CCE3CB" w14:textId="77777777" w:rsidR="008B3886" w:rsidRDefault="008B3886" w:rsidP="008B3886">
      <w:pPr>
        <w:jc w:val="both"/>
        <w:rPr>
          <w:rFonts w:ascii="Verdana" w:hAnsi="Verdana"/>
          <w:sz w:val="20"/>
          <w:szCs w:val="20"/>
        </w:rPr>
      </w:pPr>
      <w:r w:rsidRPr="00DE03A4">
        <w:rPr>
          <w:rFonts w:ascii="Verdana" w:hAnsi="Verdana"/>
          <w:sz w:val="20"/>
          <w:szCs w:val="20"/>
        </w:rPr>
        <w:t>De plus, depuis le 9 juillet 2021, les employeurs publics et les organisations syndicales peuvent conclure des accords collectifs applicables aux agents publics dans le domaine de protection sociale complémentaire, notamment pour le risque prévoyance.</w:t>
      </w:r>
    </w:p>
    <w:p w14:paraId="60213E7D" w14:textId="710034B0" w:rsidR="00BD1142" w:rsidRDefault="00BD1142" w:rsidP="00BD1142">
      <w:pPr>
        <w:spacing w:after="0"/>
        <w:jc w:val="both"/>
        <w:rPr>
          <w:rFonts w:ascii="Verdana" w:hAnsi="Verdana"/>
          <w:sz w:val="20"/>
          <w:szCs w:val="20"/>
        </w:rPr>
      </w:pPr>
      <w:r w:rsidRPr="00DA6D18">
        <w:rPr>
          <w:rFonts w:ascii="Verdana" w:hAnsi="Verdana"/>
          <w:sz w:val="20"/>
          <w:szCs w:val="20"/>
        </w:rPr>
        <w:t xml:space="preserve">En ce qu’elle participe </w:t>
      </w:r>
      <w:r>
        <w:rPr>
          <w:rFonts w:ascii="Verdana" w:hAnsi="Verdana"/>
          <w:sz w:val="20"/>
          <w:szCs w:val="20"/>
        </w:rPr>
        <w:t xml:space="preserve">aux </w:t>
      </w:r>
      <w:r w:rsidRPr="00DA6D18">
        <w:rPr>
          <w:rFonts w:ascii="Verdana" w:hAnsi="Verdana"/>
          <w:sz w:val="20"/>
          <w:szCs w:val="20"/>
        </w:rPr>
        <w:t>conditions de travail des agents ainsi qu</w:t>
      </w:r>
      <w:r>
        <w:rPr>
          <w:rFonts w:ascii="Verdana" w:hAnsi="Verdana"/>
          <w:sz w:val="20"/>
          <w:szCs w:val="20"/>
        </w:rPr>
        <w:t>’au</w:t>
      </w:r>
      <w:r w:rsidRPr="00DA6D18">
        <w:rPr>
          <w:rFonts w:ascii="Verdana" w:hAnsi="Verdana"/>
          <w:sz w:val="20"/>
          <w:szCs w:val="20"/>
        </w:rPr>
        <w:t xml:space="preserve"> maintien de leur niveau de vie et de leur santé, la protection sociale complémentaire constitue un élément d’attractivité </w:t>
      </w:r>
      <w:r>
        <w:rPr>
          <w:rFonts w:ascii="Verdana" w:hAnsi="Verdana"/>
          <w:sz w:val="20"/>
          <w:szCs w:val="20"/>
        </w:rPr>
        <w:t xml:space="preserve">et </w:t>
      </w:r>
      <w:r w:rsidRPr="00DA6D18">
        <w:rPr>
          <w:rFonts w:ascii="Verdana" w:hAnsi="Verdana"/>
          <w:sz w:val="20"/>
          <w:szCs w:val="20"/>
        </w:rPr>
        <w:t>d’engagement pour le service public.</w:t>
      </w:r>
    </w:p>
    <w:p w14:paraId="4C751C96" w14:textId="77777777" w:rsidR="00BD1142" w:rsidRDefault="00BD1142" w:rsidP="00BD1142">
      <w:pPr>
        <w:spacing w:after="0"/>
        <w:jc w:val="both"/>
        <w:rPr>
          <w:rFonts w:ascii="Verdana" w:hAnsi="Verdana"/>
          <w:sz w:val="20"/>
          <w:szCs w:val="20"/>
        </w:rPr>
      </w:pPr>
    </w:p>
    <w:p w14:paraId="520EA6B7" w14:textId="77777777" w:rsidR="008B3886" w:rsidRPr="00DE03A4" w:rsidRDefault="008B3886" w:rsidP="008B3886">
      <w:pPr>
        <w:pStyle w:val="Paragraphedeliste"/>
        <w:numPr>
          <w:ilvl w:val="0"/>
          <w:numId w:val="2"/>
        </w:numPr>
        <w:rPr>
          <w:rFonts w:ascii="Verdana" w:hAnsi="Verdana"/>
          <w:b/>
          <w:bCs/>
          <w:sz w:val="20"/>
          <w:szCs w:val="20"/>
          <w:u w:val="single"/>
        </w:rPr>
      </w:pPr>
      <w:r w:rsidRPr="00DE03A4">
        <w:rPr>
          <w:rFonts w:ascii="Verdana" w:hAnsi="Verdana"/>
          <w:b/>
          <w:bCs/>
          <w:sz w:val="20"/>
          <w:szCs w:val="20"/>
          <w:u w:val="single"/>
        </w:rPr>
        <w:t xml:space="preserve">Les principaux textes relatifs à la protection sociale complémentaire : </w:t>
      </w:r>
    </w:p>
    <w:p w14:paraId="171E8F87" w14:textId="77777777" w:rsidR="008B3886" w:rsidRPr="00DE03A4" w:rsidRDefault="008B3886" w:rsidP="008B3886">
      <w:pPr>
        <w:pStyle w:val="Paragraphedeliste"/>
        <w:rPr>
          <w:rFonts w:ascii="Verdana" w:hAnsi="Verdana"/>
          <w:b/>
          <w:bCs/>
          <w:sz w:val="20"/>
          <w:szCs w:val="20"/>
          <w:u w:val="single"/>
        </w:rPr>
      </w:pPr>
    </w:p>
    <w:tbl>
      <w:tblPr>
        <w:tblStyle w:val="Grilledutableau"/>
        <w:tblW w:w="8773" w:type="dxa"/>
        <w:tblInd w:w="-5" w:type="dxa"/>
        <w:tblLook w:val="04A0" w:firstRow="1" w:lastRow="0" w:firstColumn="1" w:lastColumn="0" w:noHBand="0" w:noVBand="1"/>
      </w:tblPr>
      <w:tblGrid>
        <w:gridCol w:w="2694"/>
        <w:gridCol w:w="6079"/>
      </w:tblGrid>
      <w:tr w:rsidR="008B3886" w:rsidRPr="00DE03A4" w14:paraId="72282439" w14:textId="77777777" w:rsidTr="00231136">
        <w:tc>
          <w:tcPr>
            <w:tcW w:w="2694" w:type="dxa"/>
          </w:tcPr>
          <w:p w14:paraId="0A74E7BE" w14:textId="77777777" w:rsidR="008B3886" w:rsidRPr="00DE03A4" w:rsidRDefault="008B3886" w:rsidP="00231136">
            <w:pPr>
              <w:pStyle w:val="Paragraphedeliste"/>
              <w:ind w:left="0"/>
              <w:jc w:val="center"/>
              <w:rPr>
                <w:rFonts w:ascii="Verdana" w:hAnsi="Verdana"/>
                <w:b/>
                <w:bCs/>
                <w:sz w:val="20"/>
                <w:szCs w:val="20"/>
              </w:rPr>
            </w:pPr>
            <w:r w:rsidRPr="00DE03A4">
              <w:rPr>
                <w:rFonts w:ascii="Verdana" w:hAnsi="Verdana"/>
                <w:b/>
                <w:bCs/>
                <w:sz w:val="20"/>
                <w:szCs w:val="20"/>
              </w:rPr>
              <w:t>Références juridiques</w:t>
            </w:r>
          </w:p>
        </w:tc>
        <w:tc>
          <w:tcPr>
            <w:tcW w:w="6079" w:type="dxa"/>
          </w:tcPr>
          <w:p w14:paraId="41EB1241" w14:textId="77777777" w:rsidR="008B3886" w:rsidRPr="00DE03A4" w:rsidRDefault="008B3886" w:rsidP="00231136">
            <w:pPr>
              <w:pStyle w:val="Paragraphedeliste"/>
              <w:ind w:left="0"/>
              <w:jc w:val="center"/>
              <w:rPr>
                <w:rFonts w:ascii="Verdana" w:hAnsi="Verdana"/>
                <w:b/>
                <w:bCs/>
                <w:sz w:val="20"/>
                <w:szCs w:val="20"/>
              </w:rPr>
            </w:pPr>
            <w:r w:rsidRPr="00DE03A4">
              <w:rPr>
                <w:rFonts w:ascii="Verdana" w:hAnsi="Verdana"/>
                <w:b/>
                <w:bCs/>
                <w:sz w:val="20"/>
                <w:szCs w:val="20"/>
              </w:rPr>
              <w:t>Dispositions</w:t>
            </w:r>
          </w:p>
        </w:tc>
      </w:tr>
      <w:tr w:rsidR="008B3886" w:rsidRPr="00DE03A4" w14:paraId="2492D4F2" w14:textId="77777777" w:rsidTr="00231136">
        <w:tc>
          <w:tcPr>
            <w:tcW w:w="2694" w:type="dxa"/>
          </w:tcPr>
          <w:p w14:paraId="09028C08" w14:textId="77777777" w:rsidR="008B3886" w:rsidRPr="00DE03A4" w:rsidRDefault="008B3886" w:rsidP="00231136">
            <w:pPr>
              <w:pStyle w:val="Paragraphedeliste"/>
              <w:ind w:left="0"/>
              <w:rPr>
                <w:rFonts w:ascii="Verdana" w:hAnsi="Verdana"/>
                <w:sz w:val="20"/>
                <w:szCs w:val="20"/>
              </w:rPr>
            </w:pPr>
            <w:r w:rsidRPr="00DE03A4">
              <w:rPr>
                <w:rFonts w:ascii="Verdana" w:hAnsi="Verdana"/>
                <w:sz w:val="20"/>
                <w:szCs w:val="20"/>
              </w:rPr>
              <w:t>Décret N°2011-1474 du 08/11/2011</w:t>
            </w:r>
          </w:p>
        </w:tc>
        <w:tc>
          <w:tcPr>
            <w:tcW w:w="6079" w:type="dxa"/>
          </w:tcPr>
          <w:p w14:paraId="41C2C2FB" w14:textId="77777777" w:rsidR="008B3886" w:rsidRPr="00DE03A4" w:rsidRDefault="008B3886" w:rsidP="00231136">
            <w:pPr>
              <w:pStyle w:val="NormalWeb"/>
              <w:spacing w:before="0" w:beforeAutospacing="0" w:after="0" w:afterAutospacing="0"/>
              <w:jc w:val="both"/>
              <w:rPr>
                <w:rFonts w:ascii="Verdana" w:hAnsi="Verdana"/>
                <w:sz w:val="20"/>
                <w:szCs w:val="20"/>
              </w:rPr>
            </w:pPr>
            <w:r w:rsidRPr="00DE03A4">
              <w:rPr>
                <w:rFonts w:ascii="Verdana" w:hAnsi="Verdana"/>
                <w:b/>
                <w:bCs/>
                <w:sz w:val="20"/>
                <w:szCs w:val="20"/>
                <w:u w:val="single"/>
              </w:rPr>
              <w:t>Possibilité</w:t>
            </w:r>
            <w:r w:rsidRPr="00DE03A4">
              <w:rPr>
                <w:rFonts w:ascii="Verdana" w:hAnsi="Verdana"/>
                <w:sz w:val="20"/>
                <w:szCs w:val="20"/>
              </w:rPr>
              <w:t xml:space="preserve"> pour les </w:t>
            </w:r>
            <w:r w:rsidRPr="00DE03A4">
              <w:rPr>
                <w:rFonts w:ascii="Verdana" w:eastAsia="Verdana" w:hAnsi="Verdana" w:cs="+mn-cs"/>
                <w:color w:val="000000"/>
                <w:kern w:val="24"/>
                <w:sz w:val="20"/>
                <w:szCs w:val="20"/>
              </w:rPr>
              <w:t xml:space="preserve">employeurs publics de participer à la protection sociale complémentaire en matière de santé et/ou prévoyance de leurs agents dans le cadre de contrat labelisé ou convention de participation (choix laissé à l’employeur territorial) </w:t>
            </w:r>
          </w:p>
          <w:p w14:paraId="67BEFA3D" w14:textId="77777777" w:rsidR="008B3886" w:rsidRPr="00DE03A4" w:rsidRDefault="008B3886" w:rsidP="00231136">
            <w:pPr>
              <w:pStyle w:val="Paragraphedeliste"/>
              <w:ind w:left="0"/>
              <w:rPr>
                <w:rFonts w:ascii="Verdana" w:hAnsi="Verdana"/>
                <w:sz w:val="20"/>
                <w:szCs w:val="20"/>
              </w:rPr>
            </w:pPr>
          </w:p>
        </w:tc>
      </w:tr>
      <w:tr w:rsidR="008B3886" w:rsidRPr="00DE03A4" w14:paraId="1463C4D5" w14:textId="77777777" w:rsidTr="00231136">
        <w:tc>
          <w:tcPr>
            <w:tcW w:w="2694" w:type="dxa"/>
          </w:tcPr>
          <w:p w14:paraId="30001923" w14:textId="77777777" w:rsidR="008B3886" w:rsidRPr="00DE03A4" w:rsidRDefault="008B3886" w:rsidP="00231136">
            <w:pPr>
              <w:pStyle w:val="Paragraphedeliste"/>
              <w:ind w:left="0"/>
              <w:rPr>
                <w:rFonts w:ascii="Verdana" w:hAnsi="Verdana"/>
                <w:sz w:val="20"/>
                <w:szCs w:val="20"/>
              </w:rPr>
            </w:pPr>
            <w:r w:rsidRPr="00DE03A4">
              <w:rPr>
                <w:rFonts w:ascii="Verdana" w:hAnsi="Verdana"/>
                <w:sz w:val="20"/>
                <w:szCs w:val="20"/>
              </w:rPr>
              <w:t>Ordonnance N°2021-175 du 17/02/2021</w:t>
            </w:r>
          </w:p>
        </w:tc>
        <w:tc>
          <w:tcPr>
            <w:tcW w:w="6079" w:type="dxa"/>
          </w:tcPr>
          <w:p w14:paraId="0ED129A9" w14:textId="77777777" w:rsidR="008B3886" w:rsidRPr="00DE03A4" w:rsidRDefault="008B3886" w:rsidP="00231136">
            <w:pPr>
              <w:pStyle w:val="NormalWeb"/>
              <w:spacing w:before="0" w:beforeAutospacing="0" w:after="0" w:afterAutospacing="0"/>
              <w:rPr>
                <w:rFonts w:ascii="Verdana" w:eastAsia="Verdana" w:hAnsi="Verdana" w:cs="+mn-cs"/>
                <w:color w:val="000000"/>
                <w:kern w:val="24"/>
                <w:sz w:val="20"/>
                <w:szCs w:val="20"/>
              </w:rPr>
            </w:pPr>
            <w:r w:rsidRPr="00DE03A4">
              <w:rPr>
                <w:rFonts w:ascii="Verdana" w:eastAsia="Verdana" w:hAnsi="Verdana" w:cs="+mn-cs"/>
                <w:b/>
                <w:bCs/>
                <w:color w:val="000000"/>
                <w:kern w:val="24"/>
                <w:sz w:val="20"/>
                <w:szCs w:val="20"/>
                <w:u w:val="single"/>
              </w:rPr>
              <w:t xml:space="preserve">Renouvellement du cadre juridique </w:t>
            </w:r>
            <w:r w:rsidRPr="00DE03A4">
              <w:rPr>
                <w:rFonts w:ascii="Verdana" w:eastAsia="Verdana" w:hAnsi="Verdana" w:cs="+mn-cs"/>
                <w:color w:val="000000"/>
                <w:kern w:val="24"/>
                <w:sz w:val="20"/>
                <w:szCs w:val="20"/>
              </w:rPr>
              <w:t xml:space="preserve">applicable à la PSC des agents des 3 fonctions publiques- Apparition de l’obligation de participation et de garanties minimales pour les deux couvertures- </w:t>
            </w:r>
          </w:p>
          <w:p w14:paraId="0937F8FD" w14:textId="77777777" w:rsidR="008B3886" w:rsidRPr="00DE03A4" w:rsidRDefault="008B3886" w:rsidP="00231136">
            <w:pPr>
              <w:pStyle w:val="NormalWeb"/>
              <w:spacing w:before="0" w:beforeAutospacing="0" w:after="0" w:afterAutospacing="0"/>
              <w:rPr>
                <w:rFonts w:ascii="Verdana" w:hAnsi="Verdana"/>
                <w:sz w:val="20"/>
                <w:szCs w:val="20"/>
              </w:rPr>
            </w:pPr>
            <w:r w:rsidRPr="00DE03A4">
              <w:rPr>
                <w:rFonts w:ascii="Verdana" w:eastAsia="Verdana" w:hAnsi="Verdana" w:cs="+mn-cs"/>
                <w:color w:val="000000"/>
                <w:kern w:val="24"/>
                <w:sz w:val="20"/>
                <w:szCs w:val="20"/>
              </w:rPr>
              <w:t>Négociations possibles au niveau local portant sur la définition des garanties des contrats destinés à couvrir les risques en matière de santé et de prévoyance- Débat sur la PSC obligatoire pour tous les employeurs territoriaux (délibération)</w:t>
            </w:r>
          </w:p>
          <w:p w14:paraId="4357A50D" w14:textId="77777777" w:rsidR="008B3886" w:rsidRPr="00DE03A4" w:rsidRDefault="008B3886" w:rsidP="00231136">
            <w:pPr>
              <w:pStyle w:val="Paragraphedeliste"/>
              <w:ind w:left="0"/>
              <w:rPr>
                <w:rFonts w:ascii="Verdana" w:hAnsi="Verdana"/>
                <w:sz w:val="20"/>
                <w:szCs w:val="20"/>
              </w:rPr>
            </w:pPr>
          </w:p>
        </w:tc>
      </w:tr>
      <w:tr w:rsidR="008B3886" w:rsidRPr="00DE03A4" w14:paraId="15B4D297" w14:textId="77777777" w:rsidTr="00231136">
        <w:tc>
          <w:tcPr>
            <w:tcW w:w="2694" w:type="dxa"/>
          </w:tcPr>
          <w:p w14:paraId="5282E270" w14:textId="77777777" w:rsidR="008B3886" w:rsidRPr="00DE03A4" w:rsidRDefault="008B3886" w:rsidP="00231136">
            <w:pPr>
              <w:pStyle w:val="Paragraphedeliste"/>
              <w:ind w:left="0"/>
              <w:rPr>
                <w:rFonts w:ascii="Verdana" w:hAnsi="Verdana"/>
                <w:sz w:val="20"/>
                <w:szCs w:val="20"/>
              </w:rPr>
            </w:pPr>
            <w:r w:rsidRPr="00DE03A4">
              <w:rPr>
                <w:rFonts w:ascii="Verdana" w:hAnsi="Verdana"/>
                <w:sz w:val="20"/>
                <w:szCs w:val="20"/>
              </w:rPr>
              <w:t>Décret N°2022-581 du 20/04/2022</w:t>
            </w:r>
          </w:p>
        </w:tc>
        <w:tc>
          <w:tcPr>
            <w:tcW w:w="6079" w:type="dxa"/>
          </w:tcPr>
          <w:p w14:paraId="0235D256" w14:textId="77777777" w:rsidR="008B3886" w:rsidRPr="00DE03A4" w:rsidRDefault="008B3886" w:rsidP="00231136">
            <w:pPr>
              <w:rPr>
                <w:rFonts w:ascii="Verdana" w:hAnsi="Verdana"/>
                <w:sz w:val="20"/>
                <w:szCs w:val="20"/>
              </w:rPr>
            </w:pPr>
            <w:r w:rsidRPr="00DE03A4">
              <w:rPr>
                <w:rFonts w:ascii="Verdana" w:hAnsi="Verdana"/>
                <w:b/>
                <w:bCs/>
                <w:sz w:val="20"/>
                <w:szCs w:val="20"/>
                <w:u w:val="single"/>
              </w:rPr>
              <w:t>Participation financière obligatoire</w:t>
            </w:r>
            <w:r w:rsidRPr="00DE03A4">
              <w:rPr>
                <w:rFonts w:ascii="Verdana" w:hAnsi="Verdana"/>
                <w:sz w:val="20"/>
                <w:szCs w:val="20"/>
              </w:rPr>
              <w:t xml:space="preserve"> pour les employeurs territoriaux :</w:t>
            </w:r>
          </w:p>
          <w:p w14:paraId="65D2D314" w14:textId="77777777" w:rsidR="008B3886" w:rsidRPr="00DE03A4" w:rsidRDefault="008B3886" w:rsidP="00231136">
            <w:pPr>
              <w:rPr>
                <w:rFonts w:ascii="Verdana" w:hAnsi="Verdana"/>
                <w:sz w:val="20"/>
                <w:szCs w:val="20"/>
              </w:rPr>
            </w:pPr>
            <w:r w:rsidRPr="00DE03A4">
              <w:rPr>
                <w:rFonts w:ascii="Verdana" w:hAnsi="Verdana"/>
                <w:b/>
                <w:bCs/>
                <w:sz w:val="20"/>
                <w:szCs w:val="20"/>
              </w:rPr>
              <w:t>1</w:t>
            </w:r>
            <w:r w:rsidRPr="00DE03A4">
              <w:rPr>
                <w:rFonts w:ascii="Verdana" w:hAnsi="Verdana"/>
                <w:b/>
                <w:bCs/>
                <w:sz w:val="20"/>
                <w:szCs w:val="20"/>
                <w:vertAlign w:val="superscript"/>
              </w:rPr>
              <w:t>er</w:t>
            </w:r>
            <w:r w:rsidRPr="00DE03A4">
              <w:rPr>
                <w:rFonts w:ascii="Verdana" w:hAnsi="Verdana"/>
                <w:b/>
                <w:bCs/>
                <w:sz w:val="20"/>
                <w:szCs w:val="20"/>
              </w:rPr>
              <w:t xml:space="preserve"> janvier 2025 </w:t>
            </w:r>
            <w:r w:rsidRPr="00DE03A4">
              <w:rPr>
                <w:rFonts w:ascii="Verdana" w:hAnsi="Verdana"/>
                <w:sz w:val="20"/>
                <w:szCs w:val="20"/>
              </w:rPr>
              <w:t xml:space="preserve">pour la </w:t>
            </w:r>
            <w:r w:rsidRPr="00DE03A4">
              <w:rPr>
                <w:rFonts w:ascii="Verdana" w:hAnsi="Verdana"/>
                <w:b/>
                <w:bCs/>
                <w:sz w:val="20"/>
                <w:szCs w:val="20"/>
                <w:u w:val="single"/>
              </w:rPr>
              <w:t>prévoyance</w:t>
            </w:r>
            <w:r w:rsidRPr="00DE03A4">
              <w:rPr>
                <w:rFonts w:ascii="Verdana" w:hAnsi="Verdana"/>
                <w:sz w:val="20"/>
                <w:szCs w:val="20"/>
              </w:rPr>
              <w:t xml:space="preserve"> : Refonte des garanties minimales en matière de prévoyance (couverture devant couvrir l’incapacité temporaire de travail mais également l’invalidité)</w:t>
            </w:r>
          </w:p>
          <w:p w14:paraId="63F89C0E" w14:textId="77777777" w:rsidR="008B3886" w:rsidRPr="00DE03A4" w:rsidRDefault="008B3886" w:rsidP="00231136">
            <w:pPr>
              <w:rPr>
                <w:rFonts w:ascii="Verdana" w:hAnsi="Verdana"/>
                <w:sz w:val="20"/>
                <w:szCs w:val="20"/>
              </w:rPr>
            </w:pPr>
            <w:r w:rsidRPr="00DE03A4">
              <w:rPr>
                <w:rFonts w:ascii="Verdana" w:hAnsi="Verdana"/>
                <w:b/>
                <w:bCs/>
                <w:sz w:val="20"/>
                <w:szCs w:val="20"/>
              </w:rPr>
              <w:t>1</w:t>
            </w:r>
            <w:r w:rsidRPr="00DE03A4">
              <w:rPr>
                <w:rFonts w:ascii="Verdana" w:hAnsi="Verdana"/>
                <w:b/>
                <w:bCs/>
                <w:sz w:val="20"/>
                <w:szCs w:val="20"/>
                <w:vertAlign w:val="superscript"/>
              </w:rPr>
              <w:t>er</w:t>
            </w:r>
            <w:r w:rsidRPr="00DE03A4">
              <w:rPr>
                <w:rFonts w:ascii="Verdana" w:hAnsi="Verdana"/>
                <w:b/>
                <w:bCs/>
                <w:sz w:val="20"/>
                <w:szCs w:val="20"/>
              </w:rPr>
              <w:t xml:space="preserve"> janvier 2026 </w:t>
            </w:r>
            <w:r w:rsidRPr="00DE03A4">
              <w:rPr>
                <w:rFonts w:ascii="Verdana" w:hAnsi="Verdana"/>
                <w:sz w:val="20"/>
                <w:szCs w:val="20"/>
              </w:rPr>
              <w:t xml:space="preserve">pour la </w:t>
            </w:r>
            <w:r w:rsidRPr="00DE03A4">
              <w:rPr>
                <w:rFonts w:ascii="Verdana" w:hAnsi="Verdana"/>
                <w:b/>
                <w:bCs/>
                <w:sz w:val="20"/>
                <w:szCs w:val="20"/>
                <w:u w:val="single"/>
              </w:rPr>
              <w:t xml:space="preserve">santé </w:t>
            </w:r>
          </w:p>
          <w:p w14:paraId="5387A43E" w14:textId="77777777" w:rsidR="008B3886" w:rsidRPr="00DE03A4" w:rsidRDefault="008B3886" w:rsidP="00231136">
            <w:pPr>
              <w:pStyle w:val="Paragraphedeliste"/>
              <w:ind w:left="0"/>
              <w:rPr>
                <w:rFonts w:ascii="Verdana" w:hAnsi="Verdana"/>
                <w:sz w:val="20"/>
                <w:szCs w:val="20"/>
              </w:rPr>
            </w:pPr>
          </w:p>
        </w:tc>
      </w:tr>
      <w:tr w:rsidR="008B3886" w:rsidRPr="00DE03A4" w14:paraId="1112B0ED" w14:textId="77777777" w:rsidTr="00231136">
        <w:tc>
          <w:tcPr>
            <w:tcW w:w="2694" w:type="dxa"/>
          </w:tcPr>
          <w:p w14:paraId="54FFAC31" w14:textId="77777777" w:rsidR="008B3886" w:rsidRPr="00DE03A4" w:rsidRDefault="008B3886" w:rsidP="00231136">
            <w:pPr>
              <w:pStyle w:val="Paragraphedeliste"/>
              <w:ind w:left="0"/>
              <w:rPr>
                <w:rFonts w:ascii="Verdana" w:hAnsi="Verdana"/>
                <w:sz w:val="20"/>
                <w:szCs w:val="20"/>
              </w:rPr>
            </w:pPr>
            <w:r w:rsidRPr="00DE03A4">
              <w:rPr>
                <w:rFonts w:ascii="Verdana" w:hAnsi="Verdana"/>
                <w:sz w:val="20"/>
                <w:szCs w:val="20"/>
              </w:rPr>
              <w:t>Accord collectif national portant réforme de la protection sociale complémentaire des agents publics territoriaux du 11/07/2023</w:t>
            </w:r>
          </w:p>
        </w:tc>
        <w:tc>
          <w:tcPr>
            <w:tcW w:w="6079" w:type="dxa"/>
          </w:tcPr>
          <w:p w14:paraId="6F7DBC9F" w14:textId="77777777" w:rsidR="008B3886" w:rsidRPr="00DE03A4" w:rsidRDefault="008B3886" w:rsidP="00231136">
            <w:pPr>
              <w:rPr>
                <w:rFonts w:ascii="Verdana" w:hAnsi="Verdana"/>
                <w:sz w:val="20"/>
                <w:szCs w:val="20"/>
              </w:rPr>
            </w:pPr>
            <w:r w:rsidRPr="00DE03A4">
              <w:rPr>
                <w:rFonts w:ascii="Verdana" w:hAnsi="Verdana"/>
                <w:b/>
                <w:bCs/>
                <w:sz w:val="20"/>
                <w:szCs w:val="20"/>
              </w:rPr>
              <w:t xml:space="preserve">Adhésion obligatoire </w:t>
            </w:r>
            <w:r w:rsidRPr="00DE03A4">
              <w:rPr>
                <w:rFonts w:ascii="Verdana" w:hAnsi="Verdana"/>
                <w:sz w:val="20"/>
                <w:szCs w:val="20"/>
              </w:rPr>
              <w:t>et montant de la participation obligatoire porté à 50% pour la prévoyance avec garanties minimales portées à 90% revenu net (TBI/ NBI/RI)</w:t>
            </w:r>
          </w:p>
          <w:p w14:paraId="45BA2463" w14:textId="77777777" w:rsidR="008B3886" w:rsidRPr="00DE03A4" w:rsidRDefault="008B3886" w:rsidP="00231136">
            <w:pPr>
              <w:pStyle w:val="Paragraphedeliste"/>
              <w:ind w:left="0"/>
              <w:rPr>
                <w:rFonts w:ascii="Verdana" w:hAnsi="Verdana"/>
                <w:sz w:val="20"/>
                <w:szCs w:val="20"/>
              </w:rPr>
            </w:pPr>
          </w:p>
        </w:tc>
      </w:tr>
    </w:tbl>
    <w:p w14:paraId="12E0A64C" w14:textId="77777777" w:rsidR="008B3886" w:rsidRPr="00DE03A4" w:rsidRDefault="008B3886" w:rsidP="008B3886">
      <w:pPr>
        <w:pStyle w:val="Paragraphedeliste"/>
        <w:rPr>
          <w:rFonts w:ascii="Verdana" w:hAnsi="Verdana"/>
          <w:sz w:val="20"/>
          <w:szCs w:val="20"/>
        </w:rPr>
      </w:pPr>
    </w:p>
    <w:p w14:paraId="4F586070" w14:textId="77777777" w:rsidR="008B3886" w:rsidRPr="00DE03A4" w:rsidRDefault="008B3886" w:rsidP="008B3886">
      <w:pPr>
        <w:pStyle w:val="Paragraphedeliste"/>
        <w:numPr>
          <w:ilvl w:val="0"/>
          <w:numId w:val="2"/>
        </w:numPr>
        <w:rPr>
          <w:rFonts w:ascii="Verdana" w:hAnsi="Verdana"/>
          <w:sz w:val="20"/>
          <w:szCs w:val="20"/>
        </w:rPr>
      </w:pPr>
      <w:r w:rsidRPr="00DE03A4">
        <w:rPr>
          <w:rFonts w:ascii="Verdana" w:hAnsi="Verdana"/>
          <w:b/>
          <w:bCs/>
          <w:sz w:val="20"/>
          <w:szCs w:val="20"/>
          <w:u w:val="single"/>
        </w:rPr>
        <w:t>Les enjeux de la protection sociale complémentaire</w:t>
      </w:r>
      <w:r w:rsidRPr="00DE03A4">
        <w:rPr>
          <w:rFonts w:ascii="Verdana" w:hAnsi="Verdana"/>
          <w:sz w:val="20"/>
          <w:szCs w:val="20"/>
        </w:rPr>
        <w:t> :</w:t>
      </w:r>
    </w:p>
    <w:p w14:paraId="093983EE" w14:textId="77777777" w:rsidR="008B3886" w:rsidRPr="00DE03A4" w:rsidRDefault="008B3886" w:rsidP="008B3886">
      <w:pPr>
        <w:jc w:val="both"/>
        <w:rPr>
          <w:rFonts w:ascii="Verdana" w:hAnsi="Verdana"/>
          <w:sz w:val="20"/>
          <w:szCs w:val="20"/>
        </w:rPr>
      </w:pPr>
      <w:r w:rsidRPr="00DE03A4">
        <w:rPr>
          <w:rFonts w:ascii="Verdana" w:hAnsi="Verdana"/>
          <w:sz w:val="20"/>
          <w:szCs w:val="20"/>
        </w:rPr>
        <w:t>Les enjeux liés à la protection sociale complémentaire concernent tant les agents que les employeurs publics.</w:t>
      </w:r>
    </w:p>
    <w:p w14:paraId="7E86F874" w14:textId="77777777" w:rsidR="008B3886" w:rsidRPr="00DE03A4" w:rsidRDefault="008B3886" w:rsidP="008B3886">
      <w:pPr>
        <w:jc w:val="both"/>
        <w:rPr>
          <w:rFonts w:ascii="Verdana" w:hAnsi="Verdana"/>
          <w:sz w:val="20"/>
          <w:szCs w:val="20"/>
        </w:rPr>
      </w:pPr>
      <w:r w:rsidRPr="00DE03A4">
        <w:rPr>
          <w:rFonts w:ascii="Verdana" w:hAnsi="Verdana"/>
          <w:sz w:val="20"/>
          <w:szCs w:val="20"/>
        </w:rPr>
        <w:t xml:space="preserve">En effet, pour les agents, il s’agit de bénéficier d’une couverture additionnelle en matière de rémunération lors de congé pour raison de santé. D’un point de vue contractuel, la </w:t>
      </w:r>
      <w:r w:rsidRPr="00DE03A4">
        <w:rPr>
          <w:rFonts w:ascii="Verdana" w:hAnsi="Verdana"/>
          <w:sz w:val="20"/>
          <w:szCs w:val="20"/>
        </w:rPr>
        <w:lastRenderedPageBreak/>
        <w:t>convention de participation permet d’assurer un équilibre entre cotisation et prestations tout en garantissant des garanties minimales négociées ce qui ne peut pas être le cas dans le cadre de contrat individuel.</w:t>
      </w:r>
    </w:p>
    <w:p w14:paraId="1AF686C9" w14:textId="77777777" w:rsidR="008B3886" w:rsidRPr="00DE03A4" w:rsidRDefault="008B3886" w:rsidP="008B3886">
      <w:pPr>
        <w:jc w:val="both"/>
        <w:rPr>
          <w:rFonts w:ascii="Verdana" w:hAnsi="Verdana"/>
          <w:sz w:val="20"/>
          <w:szCs w:val="20"/>
        </w:rPr>
      </w:pPr>
      <w:r w:rsidRPr="00DE03A4">
        <w:rPr>
          <w:rFonts w:ascii="Verdana" w:hAnsi="Verdana"/>
          <w:sz w:val="20"/>
          <w:szCs w:val="20"/>
        </w:rPr>
        <w:t>Pour les employeurs publics, la protection sociale complémentaire permet d’assurer une équité en matière de couverture prévoyance des agents et de disposer d’une politique sociale favorisant l’attractivité de la collectivité en matière de ressources humaines. D’un point de vue contractuel, la convention de participation permet d’avoir un seul interlocuteur et assurer une stabilité contractuelle même en cas de sinistralité importante.</w:t>
      </w:r>
    </w:p>
    <w:p w14:paraId="7E9D7E3E" w14:textId="77777777" w:rsidR="008B3886" w:rsidRPr="00DE03A4" w:rsidRDefault="008B3886" w:rsidP="008B3886">
      <w:pPr>
        <w:rPr>
          <w:rFonts w:ascii="Verdana" w:hAnsi="Verdana"/>
          <w:sz w:val="20"/>
          <w:szCs w:val="20"/>
        </w:rPr>
      </w:pPr>
    </w:p>
    <w:p w14:paraId="7B011DAF" w14:textId="77777777" w:rsidR="008B3886" w:rsidRPr="00DE03A4" w:rsidRDefault="008B3886" w:rsidP="008B3886">
      <w:pPr>
        <w:pStyle w:val="Paragraphedeliste"/>
        <w:numPr>
          <w:ilvl w:val="0"/>
          <w:numId w:val="2"/>
        </w:numPr>
        <w:rPr>
          <w:rFonts w:ascii="Verdana" w:hAnsi="Verdana"/>
          <w:sz w:val="20"/>
          <w:szCs w:val="20"/>
        </w:rPr>
      </w:pPr>
      <w:r w:rsidRPr="00DE03A4">
        <w:rPr>
          <w:rFonts w:ascii="Verdana" w:hAnsi="Verdana"/>
          <w:b/>
          <w:bCs/>
          <w:sz w:val="20"/>
          <w:szCs w:val="20"/>
          <w:u w:val="single"/>
        </w:rPr>
        <w:t xml:space="preserve">La démarche </w:t>
      </w:r>
      <w:r w:rsidRPr="00DE03A4">
        <w:rPr>
          <w:rFonts w:ascii="Verdana" w:hAnsi="Verdana"/>
          <w:sz w:val="20"/>
          <w:szCs w:val="20"/>
        </w:rPr>
        <w:t xml:space="preserve">: </w:t>
      </w:r>
    </w:p>
    <w:p w14:paraId="74DCCADE" w14:textId="77777777" w:rsidR="008B3886" w:rsidRPr="00DE03A4" w:rsidRDefault="008B3886" w:rsidP="00EB163F">
      <w:pPr>
        <w:pStyle w:val="Paragraphedeliste"/>
        <w:jc w:val="both"/>
        <w:rPr>
          <w:rFonts w:ascii="Verdana" w:hAnsi="Verdana"/>
          <w:sz w:val="20"/>
          <w:szCs w:val="20"/>
        </w:rPr>
      </w:pPr>
    </w:p>
    <w:p w14:paraId="555F9012" w14:textId="77777777" w:rsidR="008B3886" w:rsidRPr="00DE03A4" w:rsidRDefault="008B3886" w:rsidP="00EB163F">
      <w:pPr>
        <w:jc w:val="both"/>
        <w:rPr>
          <w:rFonts w:ascii="Verdana" w:hAnsi="Verdana"/>
          <w:sz w:val="20"/>
          <w:szCs w:val="20"/>
        </w:rPr>
      </w:pPr>
      <w:r w:rsidRPr="00DE03A4">
        <w:rPr>
          <w:rFonts w:ascii="Verdana" w:hAnsi="Verdana"/>
          <w:sz w:val="20"/>
          <w:szCs w:val="20"/>
        </w:rPr>
        <w:t>Présentée comme une avancée majeure pour les agents, il est essentiel de placer le dialogue social au centre de la démarche relative à la prévoyance et notamment en vue du renouvellement de la convention de participation proposée par le Centre de gestion.</w:t>
      </w:r>
    </w:p>
    <w:p w14:paraId="04D90BF4" w14:textId="65CA3E4A" w:rsidR="00155DB2" w:rsidRDefault="00155DB2" w:rsidP="00EB163F">
      <w:pPr>
        <w:jc w:val="both"/>
        <w:rPr>
          <w:rFonts w:ascii="Verdana" w:hAnsi="Verdana"/>
          <w:sz w:val="20"/>
          <w:szCs w:val="20"/>
        </w:rPr>
      </w:pPr>
      <w:r>
        <w:rPr>
          <w:rFonts w:ascii="Verdana" w:hAnsi="Verdana"/>
          <w:sz w:val="20"/>
          <w:szCs w:val="20"/>
        </w:rPr>
        <w:t>U</w:t>
      </w:r>
      <w:r w:rsidR="008B3886" w:rsidRPr="00DE03A4">
        <w:rPr>
          <w:rFonts w:ascii="Verdana" w:hAnsi="Verdana"/>
          <w:sz w:val="20"/>
          <w:szCs w:val="20"/>
        </w:rPr>
        <w:t xml:space="preserve">n comité de pilotage et de suivi </w:t>
      </w:r>
      <w:r>
        <w:rPr>
          <w:rFonts w:ascii="Verdana" w:hAnsi="Verdana"/>
          <w:sz w:val="20"/>
          <w:szCs w:val="20"/>
        </w:rPr>
        <w:t xml:space="preserve">a été créé au niveau départemental </w:t>
      </w:r>
      <w:r w:rsidR="005C3E5A">
        <w:rPr>
          <w:rFonts w:ascii="Verdana" w:hAnsi="Verdana"/>
          <w:sz w:val="20"/>
          <w:szCs w:val="20"/>
        </w:rPr>
        <w:t>dont</w:t>
      </w:r>
      <w:r>
        <w:rPr>
          <w:rFonts w:ascii="Verdana" w:hAnsi="Verdana"/>
          <w:sz w:val="20"/>
          <w:szCs w:val="20"/>
        </w:rPr>
        <w:t xml:space="preserve"> la gestion</w:t>
      </w:r>
      <w:r w:rsidR="005C3E5A">
        <w:rPr>
          <w:rFonts w:ascii="Verdana" w:hAnsi="Verdana"/>
          <w:sz w:val="20"/>
          <w:szCs w:val="20"/>
        </w:rPr>
        <w:t xml:space="preserve"> est assurée par le </w:t>
      </w:r>
      <w:r>
        <w:rPr>
          <w:rFonts w:ascii="Verdana" w:hAnsi="Verdana"/>
          <w:sz w:val="20"/>
          <w:szCs w:val="20"/>
        </w:rPr>
        <w:t>Centre de gestion.</w:t>
      </w:r>
    </w:p>
    <w:p w14:paraId="4E26F242" w14:textId="12F38999" w:rsidR="008B3886" w:rsidRPr="00DE03A4" w:rsidRDefault="00155DB2" w:rsidP="00EB163F">
      <w:pPr>
        <w:jc w:val="both"/>
        <w:rPr>
          <w:rFonts w:ascii="Verdana" w:hAnsi="Verdana"/>
          <w:sz w:val="20"/>
          <w:szCs w:val="20"/>
        </w:rPr>
      </w:pPr>
      <w:r>
        <w:rPr>
          <w:rFonts w:ascii="Verdana" w:hAnsi="Verdana"/>
          <w:sz w:val="20"/>
          <w:szCs w:val="20"/>
        </w:rPr>
        <w:t xml:space="preserve">Cette instance </w:t>
      </w:r>
      <w:r w:rsidR="008B3886" w:rsidRPr="00DE03A4">
        <w:rPr>
          <w:rFonts w:ascii="Verdana" w:hAnsi="Verdana"/>
          <w:sz w:val="20"/>
          <w:szCs w:val="20"/>
        </w:rPr>
        <w:t>aura pour mission d’engager les négociations</w:t>
      </w:r>
      <w:r>
        <w:rPr>
          <w:rFonts w:ascii="Verdana" w:hAnsi="Verdana"/>
          <w:sz w:val="20"/>
          <w:szCs w:val="20"/>
        </w:rPr>
        <w:t>, avec les représentants syndicaux représentatives départementaux,</w:t>
      </w:r>
      <w:r w:rsidR="008B3886" w:rsidRPr="00DE03A4">
        <w:rPr>
          <w:rFonts w:ascii="Verdana" w:hAnsi="Verdana"/>
          <w:sz w:val="20"/>
          <w:szCs w:val="20"/>
        </w:rPr>
        <w:t xml:space="preserve"> afin d’aboutir à un accord local lequel sera décliné dans le cahier des charges assurant ainsi une offre en corrélation avec les attentes des agents et des employeurs publics du territoire.</w:t>
      </w:r>
      <w:r>
        <w:rPr>
          <w:rFonts w:ascii="Verdana" w:hAnsi="Verdana"/>
          <w:sz w:val="20"/>
          <w:szCs w:val="20"/>
        </w:rPr>
        <w:t xml:space="preserve"> </w:t>
      </w:r>
    </w:p>
    <w:p w14:paraId="4728A126" w14:textId="77777777" w:rsidR="008B3886" w:rsidRPr="00DE03A4" w:rsidRDefault="008B3886" w:rsidP="00EB163F">
      <w:pPr>
        <w:jc w:val="both"/>
        <w:rPr>
          <w:rFonts w:ascii="Verdana" w:hAnsi="Verdana"/>
          <w:sz w:val="20"/>
          <w:szCs w:val="20"/>
        </w:rPr>
      </w:pPr>
      <w:r w:rsidRPr="00DE03A4">
        <w:rPr>
          <w:rFonts w:ascii="Verdana" w:hAnsi="Verdana"/>
          <w:sz w:val="20"/>
          <w:szCs w:val="20"/>
        </w:rPr>
        <w:t>Toutes les collectivités territoriales, qu’elles soient rattachées au comité social départemental ou disposant d’un comité social territorial propre, seront invitées à délibérer tant sur la démarche que sur le mode de contractualisation qu’est la convention de participation.</w:t>
      </w:r>
    </w:p>
    <w:p w14:paraId="7CBAFA1B" w14:textId="03772BC3" w:rsidR="008B3886" w:rsidRPr="00DE03A4" w:rsidRDefault="008B3886" w:rsidP="00EB163F">
      <w:pPr>
        <w:jc w:val="both"/>
        <w:rPr>
          <w:rFonts w:ascii="Verdana" w:hAnsi="Verdana"/>
          <w:sz w:val="20"/>
          <w:szCs w:val="20"/>
        </w:rPr>
      </w:pPr>
      <w:r w:rsidRPr="00DE03A4">
        <w:rPr>
          <w:rFonts w:ascii="Verdana" w:hAnsi="Verdana"/>
          <w:sz w:val="20"/>
          <w:szCs w:val="20"/>
        </w:rPr>
        <w:t>Une communication</w:t>
      </w:r>
      <w:r w:rsidR="00155DB2">
        <w:rPr>
          <w:rFonts w:ascii="Verdana" w:hAnsi="Verdana"/>
          <w:sz w:val="20"/>
          <w:szCs w:val="20"/>
        </w:rPr>
        <w:t xml:space="preserve"> régulière</w:t>
      </w:r>
      <w:r w:rsidRPr="00DE03A4">
        <w:rPr>
          <w:rFonts w:ascii="Verdana" w:hAnsi="Verdana"/>
          <w:sz w:val="20"/>
          <w:szCs w:val="20"/>
        </w:rPr>
        <w:t xml:space="preserve"> sera assurée par le Centre de gestion sur l’avancement des négociations et sur la procédure de convention de participation</w:t>
      </w:r>
      <w:r w:rsidR="005C3E5A">
        <w:rPr>
          <w:rFonts w:ascii="Verdana" w:hAnsi="Verdana"/>
          <w:sz w:val="20"/>
          <w:szCs w:val="20"/>
        </w:rPr>
        <w:t xml:space="preserve"> permettant ainsi aux instances locales d’être informées sur l’avancement des négociations.</w:t>
      </w:r>
    </w:p>
    <w:p w14:paraId="2C19CCB4" w14:textId="77777777" w:rsidR="008B3886" w:rsidRPr="00DE03A4" w:rsidRDefault="008B3886" w:rsidP="008B3886">
      <w:pPr>
        <w:jc w:val="both"/>
        <w:rPr>
          <w:rFonts w:ascii="Verdana" w:hAnsi="Verdana"/>
          <w:sz w:val="20"/>
          <w:szCs w:val="20"/>
        </w:rPr>
      </w:pPr>
    </w:p>
    <w:p w14:paraId="74CEE8A2" w14:textId="7379BD98" w:rsidR="008B3886" w:rsidRDefault="00EB163F" w:rsidP="00EB163F">
      <w:pPr>
        <w:jc w:val="both"/>
        <w:rPr>
          <w:rFonts w:ascii="Verdana" w:hAnsi="Verdana"/>
          <w:sz w:val="20"/>
          <w:szCs w:val="20"/>
        </w:rPr>
      </w:pPr>
      <w:r>
        <w:rPr>
          <w:rFonts w:ascii="Verdana" w:hAnsi="Verdana"/>
          <w:sz w:val="20"/>
          <w:szCs w:val="20"/>
        </w:rPr>
        <w:t xml:space="preserve">Les membres du comité social territorial sont informés que </w:t>
      </w:r>
      <w:r>
        <w:rPr>
          <w:rFonts w:ascii="Verdana" w:hAnsi="Verdana"/>
          <w:sz w:val="20"/>
          <w:szCs w:val="20"/>
          <w:highlight w:val="yellow"/>
        </w:rPr>
        <w:t>l</w:t>
      </w:r>
      <w:r w:rsidR="008B3886" w:rsidRPr="00EB163F">
        <w:rPr>
          <w:rFonts w:ascii="Verdana" w:hAnsi="Verdana"/>
          <w:sz w:val="20"/>
          <w:szCs w:val="20"/>
          <w:highlight w:val="yellow"/>
        </w:rPr>
        <w:t xml:space="preserve">e conseil municipal/ le </w:t>
      </w:r>
      <w:r w:rsidRPr="00EB163F">
        <w:rPr>
          <w:rFonts w:ascii="Verdana" w:hAnsi="Verdana"/>
          <w:sz w:val="20"/>
          <w:szCs w:val="20"/>
          <w:highlight w:val="yellow"/>
        </w:rPr>
        <w:t>conseil d’administration</w:t>
      </w:r>
      <w:r>
        <w:rPr>
          <w:rFonts w:ascii="Verdana" w:hAnsi="Verdana"/>
          <w:sz w:val="20"/>
          <w:szCs w:val="20"/>
        </w:rPr>
        <w:t xml:space="preserve"> devra délibérer afin de donner mandat au Centre de Gestion du FINISTERE pour :</w:t>
      </w:r>
    </w:p>
    <w:p w14:paraId="014FF43F" w14:textId="5A9EE0A0" w:rsidR="00EB163F" w:rsidRPr="00EB163F" w:rsidRDefault="00EB163F" w:rsidP="00EB163F">
      <w:pPr>
        <w:numPr>
          <w:ilvl w:val="0"/>
          <w:numId w:val="3"/>
        </w:numPr>
        <w:spacing w:after="120" w:line="276" w:lineRule="auto"/>
        <w:ind w:hanging="284"/>
        <w:jc w:val="both"/>
        <w:rPr>
          <w:rFonts w:ascii="Verdana" w:eastAsia="Arial" w:hAnsi="Verdana" w:cstheme="minorHAnsi"/>
          <w:sz w:val="20"/>
          <w:szCs w:val="20"/>
        </w:rPr>
      </w:pPr>
      <w:r>
        <w:rPr>
          <w:rFonts w:ascii="Verdana" w:hAnsi="Verdana" w:cstheme="minorHAnsi"/>
          <w:sz w:val="20"/>
          <w:szCs w:val="20"/>
        </w:rPr>
        <w:t>L</w:t>
      </w:r>
      <w:r w:rsidRPr="00EB163F">
        <w:rPr>
          <w:rFonts w:ascii="Verdana" w:hAnsi="Verdana" w:cstheme="minorHAnsi"/>
          <w:sz w:val="20"/>
          <w:szCs w:val="20"/>
        </w:rPr>
        <w:t xml:space="preserve">’organisation, la conduite et l’animation du dialogue social au niveau </w:t>
      </w:r>
      <w:r>
        <w:rPr>
          <w:rFonts w:ascii="Verdana" w:hAnsi="Verdana" w:cstheme="minorHAnsi"/>
          <w:sz w:val="20"/>
          <w:szCs w:val="20"/>
        </w:rPr>
        <w:t>départemental en vu de conclure un accord local en matière de protection sociale complémentaire pour le risque prévoyance</w:t>
      </w:r>
    </w:p>
    <w:p w14:paraId="7359D818" w14:textId="1B66B4BA" w:rsidR="00EB163F" w:rsidRPr="00EB163F" w:rsidRDefault="00EB163F" w:rsidP="00EB163F">
      <w:pPr>
        <w:numPr>
          <w:ilvl w:val="0"/>
          <w:numId w:val="3"/>
        </w:numPr>
        <w:spacing w:after="120" w:line="276" w:lineRule="auto"/>
        <w:ind w:hanging="284"/>
        <w:jc w:val="both"/>
        <w:rPr>
          <w:rFonts w:ascii="Verdana" w:eastAsia="Arial" w:hAnsi="Verdana" w:cstheme="minorHAnsi"/>
          <w:sz w:val="20"/>
          <w:szCs w:val="20"/>
        </w:rPr>
      </w:pPr>
      <w:r>
        <w:rPr>
          <w:rFonts w:ascii="Verdana" w:hAnsi="Verdana" w:cstheme="minorHAnsi"/>
          <w:sz w:val="20"/>
          <w:szCs w:val="20"/>
        </w:rPr>
        <w:t>L</w:t>
      </w:r>
      <w:r w:rsidRPr="00EB163F">
        <w:rPr>
          <w:rFonts w:ascii="Verdana" w:hAnsi="Verdana" w:cstheme="minorHAnsi"/>
          <w:sz w:val="20"/>
          <w:szCs w:val="20"/>
        </w:rPr>
        <w:t>a réalisation d’une mise en concurrence visant à la sélection d’un</w:t>
      </w:r>
      <w:r>
        <w:rPr>
          <w:rFonts w:ascii="Verdana" w:hAnsi="Verdana" w:cstheme="minorHAnsi"/>
          <w:sz w:val="20"/>
          <w:szCs w:val="20"/>
        </w:rPr>
        <w:t xml:space="preserve"> </w:t>
      </w:r>
      <w:r w:rsidRPr="00EB163F">
        <w:rPr>
          <w:rFonts w:ascii="Verdana" w:hAnsi="Verdana" w:cstheme="minorHAnsi"/>
          <w:sz w:val="20"/>
          <w:szCs w:val="20"/>
        </w:rPr>
        <w:t>organisme d’assurance et la conclusion d</w:t>
      </w:r>
      <w:r>
        <w:rPr>
          <w:rFonts w:ascii="Verdana" w:hAnsi="Verdana" w:cstheme="minorHAnsi"/>
          <w:sz w:val="20"/>
          <w:szCs w:val="20"/>
        </w:rPr>
        <w:t>’une</w:t>
      </w:r>
      <w:r w:rsidRPr="00EB163F">
        <w:rPr>
          <w:rFonts w:ascii="Verdana" w:hAnsi="Verdana" w:cstheme="minorHAnsi"/>
          <w:sz w:val="20"/>
          <w:szCs w:val="20"/>
        </w:rPr>
        <w:t xml:space="preserve"> convention de participation pour la couverture du risque Prévoyance des </w:t>
      </w:r>
      <w:r w:rsidR="005C3E5A" w:rsidRPr="00EB163F">
        <w:rPr>
          <w:rFonts w:ascii="Verdana" w:hAnsi="Verdana" w:cstheme="minorHAnsi"/>
          <w:sz w:val="20"/>
          <w:szCs w:val="20"/>
        </w:rPr>
        <w:t>agents</w:t>
      </w:r>
      <w:r w:rsidR="005C3E5A" w:rsidRPr="00EB163F">
        <w:rPr>
          <w:rFonts w:ascii="Verdana" w:eastAsia="Arial" w:hAnsi="Verdana" w:cstheme="minorHAnsi"/>
          <w:bCs/>
          <w:sz w:val="20"/>
          <w:szCs w:val="20"/>
        </w:rPr>
        <w:t xml:space="preserve"> ;</w:t>
      </w:r>
    </w:p>
    <w:p w14:paraId="0BD7A8A1" w14:textId="77777777" w:rsidR="00EB163F" w:rsidRDefault="00EB163F" w:rsidP="00EB163F">
      <w:pPr>
        <w:jc w:val="both"/>
        <w:rPr>
          <w:rFonts w:ascii="Verdana" w:hAnsi="Verdana"/>
          <w:sz w:val="20"/>
          <w:szCs w:val="20"/>
        </w:rPr>
      </w:pPr>
    </w:p>
    <w:p w14:paraId="174C52EF" w14:textId="77777777" w:rsidR="00EB163F" w:rsidRDefault="00EB163F" w:rsidP="00EB163F">
      <w:pPr>
        <w:jc w:val="both"/>
        <w:rPr>
          <w:rFonts w:ascii="Verdana" w:hAnsi="Verdana"/>
          <w:sz w:val="20"/>
          <w:szCs w:val="20"/>
        </w:rPr>
      </w:pPr>
      <w:r>
        <w:rPr>
          <w:rFonts w:ascii="Verdana" w:hAnsi="Verdana"/>
          <w:sz w:val="20"/>
          <w:szCs w:val="20"/>
        </w:rPr>
        <w:t>Les membres du Comité social territorial sont invités à émettre un avis sur la procédure présentée :</w:t>
      </w:r>
    </w:p>
    <w:p w14:paraId="01F2C75B" w14:textId="52C29F9F" w:rsidR="00EB163F" w:rsidRDefault="00EB163F" w:rsidP="00EB163F">
      <w:pPr>
        <w:jc w:val="both"/>
        <w:rPr>
          <w:rFonts w:ascii="Verdana" w:hAnsi="Verdana"/>
          <w:sz w:val="20"/>
          <w:szCs w:val="20"/>
        </w:rPr>
      </w:pPr>
      <w:r w:rsidRPr="00EB163F">
        <w:rPr>
          <w:rFonts w:ascii="Verdana" w:hAnsi="Verdana"/>
          <w:sz w:val="20"/>
          <w:szCs w:val="20"/>
          <w:highlight w:val="yellow"/>
        </w:rPr>
        <w:t>Avis des membres réuni en séance du………………….. :</w:t>
      </w:r>
    </w:p>
    <w:p w14:paraId="32FB9AF8" w14:textId="39629779" w:rsidR="00EB163F" w:rsidRPr="00EB163F" w:rsidRDefault="00EB163F" w:rsidP="00EB163F">
      <w:pPr>
        <w:jc w:val="both"/>
        <w:rPr>
          <w:rFonts w:ascii="Verdana" w:hAnsi="Verdana"/>
          <w:i/>
          <w:iCs/>
          <w:sz w:val="20"/>
          <w:szCs w:val="20"/>
        </w:rPr>
      </w:pPr>
      <w:r>
        <w:rPr>
          <w:rFonts w:ascii="Verdana" w:hAnsi="Verdana"/>
          <w:sz w:val="20"/>
          <w:szCs w:val="20"/>
        </w:rPr>
        <w:tab/>
      </w:r>
      <w:r w:rsidRPr="00EB163F">
        <w:rPr>
          <w:rFonts w:ascii="Verdana" w:hAnsi="Verdana"/>
          <w:i/>
          <w:iCs/>
          <w:sz w:val="20"/>
          <w:szCs w:val="20"/>
          <w:highlight w:val="yellow"/>
        </w:rPr>
        <w:t>Avis favorable obtenu à la majorité/ à l’unanimité// Avis défavorable</w:t>
      </w:r>
      <w:r w:rsidRPr="00EB163F">
        <w:rPr>
          <w:rFonts w:ascii="Verdana" w:hAnsi="Verdana"/>
          <w:i/>
          <w:iCs/>
          <w:sz w:val="20"/>
          <w:szCs w:val="20"/>
        </w:rPr>
        <w:t xml:space="preserve"> </w:t>
      </w:r>
    </w:p>
    <w:p w14:paraId="11C7CC8A" w14:textId="77777777" w:rsidR="008B3886" w:rsidRDefault="008B3886" w:rsidP="008B3886">
      <w:pPr>
        <w:pStyle w:val="Paragraphedeliste"/>
      </w:pPr>
    </w:p>
    <w:sectPr w:rsidR="008B3886" w:rsidSect="00F15776">
      <w:headerReference w:type="even" r:id="rId7"/>
      <w:headerReference w:type="default" r:id="rId8"/>
      <w:footerReference w:type="even" r:id="rId9"/>
      <w:footerReference w:type="default" r:id="rId10"/>
      <w:headerReference w:type="first" r:id="rId11"/>
      <w:footerReference w:type="first" r:id="rId12"/>
      <w:pgSz w:w="11906" w:h="16838"/>
      <w:pgMar w:top="42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DABA7" w14:textId="77777777" w:rsidR="00F15776" w:rsidRDefault="00F15776" w:rsidP="00BD1142">
      <w:pPr>
        <w:spacing w:after="0" w:line="240" w:lineRule="auto"/>
      </w:pPr>
      <w:r>
        <w:separator/>
      </w:r>
    </w:p>
  </w:endnote>
  <w:endnote w:type="continuationSeparator" w:id="0">
    <w:p w14:paraId="70549099" w14:textId="77777777" w:rsidR="00F15776" w:rsidRDefault="00F15776" w:rsidP="00BD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D720" w14:textId="77777777" w:rsidR="00BD1142" w:rsidRDefault="00BD114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DA07" w14:textId="77777777" w:rsidR="00BD1142" w:rsidRDefault="00BD114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87E8" w14:textId="77777777" w:rsidR="00BD1142" w:rsidRDefault="00BD11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842EB" w14:textId="77777777" w:rsidR="00F15776" w:rsidRDefault="00F15776" w:rsidP="00BD1142">
      <w:pPr>
        <w:spacing w:after="0" w:line="240" w:lineRule="auto"/>
      </w:pPr>
      <w:r>
        <w:separator/>
      </w:r>
    </w:p>
  </w:footnote>
  <w:footnote w:type="continuationSeparator" w:id="0">
    <w:p w14:paraId="4877606B" w14:textId="77777777" w:rsidR="00F15776" w:rsidRDefault="00F15776" w:rsidP="00BD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F38D" w14:textId="16EC9AB8" w:rsidR="00BD1142" w:rsidRDefault="00BD1142">
    <w:pPr>
      <w:pStyle w:val="En-tte"/>
    </w:pPr>
    <w:r>
      <w:rPr>
        <w:noProof/>
      </w:rPr>
      <w:pict w14:anchorId="19421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954" o:spid="_x0000_s1026"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7E1B" w14:textId="286B1382" w:rsidR="00BD1142" w:rsidRDefault="00BD1142">
    <w:pPr>
      <w:pStyle w:val="En-tte"/>
    </w:pPr>
    <w:r>
      <w:rPr>
        <w:noProof/>
      </w:rPr>
      <w:pict w14:anchorId="34407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955" o:spid="_x0000_s1027"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8C28" w14:textId="26ACB6B2" w:rsidR="00BD1142" w:rsidRDefault="00BD1142">
    <w:pPr>
      <w:pStyle w:val="En-tte"/>
    </w:pPr>
    <w:r>
      <w:rPr>
        <w:noProof/>
      </w:rPr>
      <w:pict w14:anchorId="314E5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6953" o:spid="_x0000_s1025"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1" w15:restartNumberingAfterBreak="0">
    <w:nsid w:val="78966902"/>
    <w:multiLevelType w:val="hybridMultilevel"/>
    <w:tmpl w:val="98B028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2243F2"/>
    <w:multiLevelType w:val="hybridMultilevel"/>
    <w:tmpl w:val="B46C34B8"/>
    <w:lvl w:ilvl="0" w:tplc="0868DA38">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95910761">
    <w:abstractNumId w:val="1"/>
  </w:num>
  <w:num w:numId="2" w16cid:durableId="1060985020">
    <w:abstractNumId w:val="2"/>
  </w:num>
  <w:num w:numId="3" w16cid:durableId="78160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86"/>
    <w:rsid w:val="00155DB2"/>
    <w:rsid w:val="005C3E5A"/>
    <w:rsid w:val="005E0194"/>
    <w:rsid w:val="008934E9"/>
    <w:rsid w:val="008B3886"/>
    <w:rsid w:val="00BD1142"/>
    <w:rsid w:val="00EB163F"/>
    <w:rsid w:val="00F15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2F292"/>
  <w15:chartTrackingRefBased/>
  <w15:docId w15:val="{8C2DF83F-AD15-4FF1-8893-959312F4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3886"/>
    <w:pPr>
      <w:ind w:left="720"/>
      <w:contextualSpacing/>
    </w:pPr>
  </w:style>
  <w:style w:type="table" w:styleId="Grilledutableau">
    <w:name w:val="Table Grid"/>
    <w:basedOn w:val="TableauNormal"/>
    <w:uiPriority w:val="39"/>
    <w:rsid w:val="008B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388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BD1142"/>
    <w:pPr>
      <w:tabs>
        <w:tab w:val="center" w:pos="4536"/>
        <w:tab w:val="right" w:pos="9072"/>
      </w:tabs>
      <w:spacing w:after="0" w:line="240" w:lineRule="auto"/>
    </w:pPr>
  </w:style>
  <w:style w:type="character" w:customStyle="1" w:styleId="En-tteCar">
    <w:name w:val="En-tête Car"/>
    <w:basedOn w:val="Policepardfaut"/>
    <w:link w:val="En-tte"/>
    <w:uiPriority w:val="99"/>
    <w:rsid w:val="00BD1142"/>
  </w:style>
  <w:style w:type="paragraph" w:styleId="Pieddepage">
    <w:name w:val="footer"/>
    <w:basedOn w:val="Normal"/>
    <w:link w:val="PieddepageCar"/>
    <w:uiPriority w:val="99"/>
    <w:unhideWhenUsed/>
    <w:rsid w:val="00BD11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824</Words>
  <Characters>4536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Gwendoline DAUDIER</cp:lastModifiedBy>
  <cp:revision>2</cp:revision>
  <dcterms:created xsi:type="dcterms:W3CDTF">2024-02-01T20:18:00Z</dcterms:created>
  <dcterms:modified xsi:type="dcterms:W3CDTF">2024-03-04T09:43:00Z</dcterms:modified>
</cp:coreProperties>
</file>